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17" w:rsidRDefault="00510117" w:rsidP="00B738BB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>
        <w:rPr>
          <w:rFonts w:ascii="Arial" w:hAnsi="Arial" w:cs="Arial"/>
          <w:b/>
          <w:sz w:val="44"/>
          <w:szCs w:val="44"/>
        </w:rPr>
        <w:t>TECHNICKÁ SPRÁVA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10117" w:rsidRDefault="00510117" w:rsidP="00B738BB">
      <w:pPr>
        <w:pStyle w:val="Nadpis3"/>
        <w:spacing w:after="0"/>
        <w:jc w:val="both"/>
        <w:rPr>
          <w:u w:val="single"/>
        </w:rPr>
      </w:pPr>
      <w:bookmarkStart w:id="1" w:name="_Toc294448214"/>
      <w:r>
        <w:rPr>
          <w:u w:val="single"/>
        </w:rPr>
        <w:t>1. IDENTIFIKAČNÉ ÚDAJE O STAVBE A INVESTOROVI:</w:t>
      </w:r>
      <w:bookmarkEnd w:id="1"/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0117" w:rsidRPr="001C75DE" w:rsidRDefault="00510117" w:rsidP="00B738BB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1C75DE">
        <w:rPr>
          <w:rFonts w:ascii="Arial" w:hAnsi="Arial" w:cs="Arial"/>
          <w:b/>
          <w:sz w:val="24"/>
          <w:szCs w:val="24"/>
        </w:rPr>
        <w:t>Názov stavby:</w:t>
      </w:r>
      <w:r w:rsidR="00B738BB">
        <w:rPr>
          <w:rFonts w:ascii="Arial" w:hAnsi="Arial" w:cs="Arial"/>
          <w:b/>
          <w:sz w:val="24"/>
          <w:szCs w:val="24"/>
        </w:rPr>
        <w:tab/>
      </w:r>
      <w:r w:rsidR="00B738BB">
        <w:rPr>
          <w:rFonts w:ascii="Arial" w:hAnsi="Arial" w:cs="Arial"/>
          <w:b/>
          <w:sz w:val="24"/>
          <w:szCs w:val="24"/>
        </w:rPr>
        <w:tab/>
      </w:r>
      <w:r w:rsidRPr="001C75DE">
        <w:rPr>
          <w:rFonts w:ascii="Arial" w:hAnsi="Arial" w:cs="Arial"/>
          <w:b/>
          <w:sz w:val="28"/>
          <w:szCs w:val="28"/>
        </w:rPr>
        <w:t>EXPEDIČNÝ SKLAD ČIERNY BALOG</w:t>
      </w:r>
    </w:p>
    <w:p w:rsidR="00510117" w:rsidRPr="001C75DE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75DE">
        <w:rPr>
          <w:rFonts w:ascii="Arial" w:hAnsi="Arial" w:cs="Arial"/>
          <w:b/>
          <w:sz w:val="24"/>
          <w:szCs w:val="24"/>
        </w:rPr>
        <w:t>Stavebný objekt</w:t>
      </w:r>
      <w:r w:rsidR="00C903BC">
        <w:rPr>
          <w:rFonts w:ascii="Arial" w:hAnsi="Arial" w:cs="Arial"/>
          <w:b/>
          <w:sz w:val="24"/>
          <w:szCs w:val="24"/>
        </w:rPr>
        <w:t>:</w:t>
      </w:r>
      <w:r w:rsidR="00C903BC">
        <w:rPr>
          <w:rFonts w:ascii="Arial" w:hAnsi="Arial" w:cs="Arial"/>
          <w:b/>
          <w:sz w:val="28"/>
          <w:szCs w:val="28"/>
        </w:rPr>
        <w:t xml:space="preserve">          </w:t>
      </w:r>
      <w:r w:rsidR="00B738BB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4"/>
        </w:rPr>
        <w:t>SO – 03  OPLOTENIE A PRENOSNÉ ZÁBRANY</w:t>
      </w:r>
    </w:p>
    <w:p w:rsidR="00510117" w:rsidRDefault="00B738BB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Miesto stavby: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0117">
        <w:rPr>
          <w:rFonts w:ascii="Arial" w:hAnsi="Arial" w:cs="Arial"/>
          <w:sz w:val="24"/>
          <w:szCs w:val="24"/>
        </w:rPr>
        <w:t>k. ú. Čierny Balog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Obec :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903BC">
        <w:rPr>
          <w:rFonts w:ascii="Arial" w:hAnsi="Arial" w:cs="Arial"/>
          <w:sz w:val="24"/>
          <w:szCs w:val="24"/>
        </w:rPr>
        <w:t xml:space="preserve">     </w:t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Čierny Balog</w:t>
      </w:r>
    </w:p>
    <w:p w:rsidR="00510117" w:rsidRDefault="00B738BB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Parcelové číslo: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0117">
        <w:rPr>
          <w:rFonts w:ascii="Arial" w:hAnsi="Arial" w:cs="Arial"/>
          <w:sz w:val="24"/>
          <w:szCs w:val="24"/>
        </w:rPr>
        <w:t>KN – C 1513/12, 1513/2, 1513/3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C903BC">
        <w:rPr>
          <w:rFonts w:ascii="Arial" w:hAnsi="Arial" w:cs="Arial"/>
          <w:sz w:val="24"/>
          <w:szCs w:val="24"/>
        </w:rPr>
        <w:t xml:space="preserve">kres :                             </w:t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Brezno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Kraj: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903BC">
        <w:rPr>
          <w:rFonts w:ascii="Arial" w:hAnsi="Arial" w:cs="Arial"/>
          <w:sz w:val="24"/>
          <w:szCs w:val="24"/>
        </w:rPr>
        <w:t xml:space="preserve">    </w:t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Banskobystrický</w:t>
      </w:r>
    </w:p>
    <w:p w:rsidR="00510117" w:rsidRDefault="00B738BB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Klasifikácia stavby:    </w:t>
      </w:r>
      <w:r>
        <w:rPr>
          <w:rFonts w:ascii="Arial" w:hAnsi="Arial" w:cs="Arial"/>
          <w:sz w:val="24"/>
          <w:szCs w:val="24"/>
        </w:rPr>
        <w:tab/>
      </w:r>
      <w:r w:rsidR="00510117">
        <w:rPr>
          <w:rFonts w:ascii="Arial" w:hAnsi="Arial" w:cs="Arial"/>
          <w:sz w:val="24"/>
          <w:szCs w:val="24"/>
        </w:rPr>
        <w:t>1252, 2223</w:t>
      </w:r>
    </w:p>
    <w:p w:rsidR="00510117" w:rsidRDefault="00B738BB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Investor stavby:         </w:t>
      </w:r>
      <w:r>
        <w:rPr>
          <w:rFonts w:ascii="Arial" w:hAnsi="Arial" w:cs="Arial"/>
          <w:sz w:val="24"/>
          <w:szCs w:val="24"/>
        </w:rPr>
        <w:tab/>
      </w:r>
      <w:r w:rsidR="00510117">
        <w:rPr>
          <w:rFonts w:ascii="Arial" w:hAnsi="Arial" w:cs="Arial"/>
          <w:sz w:val="24"/>
          <w:szCs w:val="24"/>
        </w:rPr>
        <w:t>Lesy SR, š.p. Banská Bystri</w:t>
      </w:r>
      <w:r w:rsidR="00C903BC">
        <w:rPr>
          <w:rFonts w:ascii="Arial" w:hAnsi="Arial" w:cs="Arial"/>
          <w:sz w:val="24"/>
          <w:szCs w:val="24"/>
        </w:rPr>
        <w:t xml:space="preserve">ca, </w:t>
      </w:r>
      <w:r>
        <w:rPr>
          <w:rFonts w:ascii="Arial" w:hAnsi="Arial" w:cs="Arial"/>
          <w:sz w:val="24"/>
          <w:szCs w:val="24"/>
        </w:rPr>
        <w:t xml:space="preserve">Námestie SNP  č. 8,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</w:r>
      <w:r w:rsidR="00510117">
        <w:rPr>
          <w:rFonts w:ascii="Arial" w:hAnsi="Arial" w:cs="Arial"/>
          <w:sz w:val="24"/>
          <w:szCs w:val="24"/>
        </w:rPr>
        <w:t>985 66 Banská Bystrica</w:t>
      </w:r>
    </w:p>
    <w:p w:rsidR="00C903BC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Užívateľ </w:t>
      </w:r>
      <w:r w:rsidR="00C903BC">
        <w:rPr>
          <w:rFonts w:ascii="Arial" w:hAnsi="Arial" w:cs="Arial"/>
          <w:sz w:val="24"/>
          <w:szCs w:val="24"/>
        </w:rPr>
        <w:t xml:space="preserve">stavby:                </w:t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Lesy SR, š.p. Odštepný závod ČIERNY BALOG,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903BC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>Hlavná 245/72,  976 52 Čierny Balog</w:t>
      </w:r>
    </w:p>
    <w:p w:rsidR="00510117" w:rsidRDefault="00C903BC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Hlavný projektant stavby: </w:t>
      </w:r>
      <w:r w:rsidR="00B738BB">
        <w:rPr>
          <w:rFonts w:ascii="Arial" w:hAnsi="Arial" w:cs="Arial"/>
          <w:sz w:val="24"/>
          <w:szCs w:val="24"/>
        </w:rPr>
        <w:tab/>
      </w:r>
      <w:r w:rsidR="00510117">
        <w:rPr>
          <w:rFonts w:ascii="Arial" w:hAnsi="Arial" w:cs="Arial"/>
          <w:sz w:val="24"/>
          <w:szCs w:val="24"/>
        </w:rPr>
        <w:t xml:space="preserve">Ing. Dušan Grék, autorizovaný stavebný inžinier,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 xml:space="preserve">                              </w:t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Projektovanie stavieb, </w:t>
      </w:r>
      <w:proofErr w:type="spellStart"/>
      <w:r w:rsidR="00B738BB">
        <w:rPr>
          <w:rFonts w:ascii="Arial" w:hAnsi="Arial" w:cs="Arial"/>
          <w:sz w:val="24"/>
          <w:szCs w:val="24"/>
        </w:rPr>
        <w:t>Halašova</w:t>
      </w:r>
      <w:proofErr w:type="spellEnd"/>
      <w:r w:rsidR="00B738BB">
        <w:rPr>
          <w:rFonts w:ascii="Arial" w:hAnsi="Arial" w:cs="Arial"/>
          <w:sz w:val="24"/>
          <w:szCs w:val="24"/>
        </w:rPr>
        <w:t xml:space="preserve"> 2662/5, 010 01 </w:t>
      </w:r>
      <w:r w:rsidR="00B738BB"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ab/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Žilina, mobil: 0948 779 924, </w:t>
      </w:r>
      <w:hyperlink r:id="rId5" w:history="1">
        <w:r>
          <w:rPr>
            <w:rStyle w:val="Hypertextovprepojenie"/>
            <w:color w:val="000000" w:themeColor="text1"/>
            <w:sz w:val="24"/>
            <w:szCs w:val="24"/>
          </w:rPr>
          <w:t>dusan.grek@gmail.com</w:t>
        </w:r>
      </w:hyperlink>
    </w:p>
    <w:p w:rsidR="00510117" w:rsidRDefault="00B738BB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Vypracoval :  </w:t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4"/>
          <w:szCs w:val="24"/>
        </w:rPr>
        <w:tab/>
        <w:t>I</w:t>
      </w:r>
      <w:r w:rsidR="00510117">
        <w:rPr>
          <w:rFonts w:ascii="Arial" w:hAnsi="Arial" w:cs="Arial"/>
          <w:sz w:val="24"/>
          <w:szCs w:val="24"/>
        </w:rPr>
        <w:t>ng. Dušan Grék – autorizovaný stavebný inžinier</w:t>
      </w:r>
    </w:p>
    <w:p w:rsidR="00510117" w:rsidRDefault="00510117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510117" w:rsidRDefault="00510117" w:rsidP="00B738BB">
      <w:pPr>
        <w:pStyle w:val="Nadpis3"/>
        <w:spacing w:after="0"/>
        <w:jc w:val="both"/>
        <w:rPr>
          <w:u w:val="single"/>
        </w:rPr>
      </w:pPr>
      <w:r>
        <w:rPr>
          <w:u w:val="single"/>
        </w:rPr>
        <w:t>2. ÚZEMIE VÝSTAVBY A VŠEOBECNÉ ÚDAJE: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Manipulačno-expedičný sklad dreva v Čiernom Balogu slúži na zmanipulovanie (skrátenie na jednotlivé dĺžkové výrezy) a roztriedenie (na jednotlivé hrúbkové výrezy) vyťaženej hrubej ihličnatej a čiastočne aj listnatej drevnej hmoty, privezenej nákladnými autami s hydraulickou rukou v celých dĺžkach, z gravitačných oblastí lesných správ v blízkom okolí, ktoré sú súčasťou Odštepného závodu v Čiernom Balogu.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drevosklade sa zmanipuluje a roztriedi ročne cca 60 000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hrubej drevnej hmoty na jednotlivé dĺžkové a hrúbkové výrezy.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Manipulačno-expedičný sklad dreva je situovaný medzi koľajisk</w:t>
      </w:r>
      <w:r w:rsidR="003C14BA">
        <w:rPr>
          <w:rFonts w:ascii="Arial" w:hAnsi="Arial" w:cs="Arial"/>
          <w:sz w:val="24"/>
          <w:szCs w:val="24"/>
        </w:rPr>
        <w:t>om lesníckej železničky, tokom Č</w:t>
      </w:r>
      <w:r>
        <w:rPr>
          <w:rFonts w:ascii="Arial" w:hAnsi="Arial" w:cs="Arial"/>
          <w:sz w:val="24"/>
          <w:szCs w:val="24"/>
        </w:rPr>
        <w:t>ierneho Hrona a obecnou komunikáciou v Čiernom Balogu, na parcelách vedených v katastri nehnuteľností pod parcelnými číslami 1513/12, 1543/2 a 1513/3, ktoré sú vo vlastníctve LESOV SR š.p. Má pozdĺžny tvar a minimálny priečny i pozdĺžny sklon. Z tohto dôvodu je počas dažďov nedostatočne spevnená plocha drevoskladu z väčšej časti zaplavená vodou a bahnom.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Prístup do drevoskladu nákladnými autami je z miestnej komunikácie, ktorá vedie ďalej do časti Dobroč, so spevnenou odbočkou a rázcestím, cez rúrový priepust a uzamykateľnú bránu. Areál expedičného skladu je z troch strán oplotený pletivom na oceľových stĺpikoch</w:t>
      </w:r>
      <w:r w:rsidR="003C14BA">
        <w:rPr>
          <w:rFonts w:ascii="Arial" w:hAnsi="Arial" w:cs="Arial"/>
          <w:sz w:val="24"/>
          <w:szCs w:val="24"/>
        </w:rPr>
        <w:t>. Zo strany od toku Čierneho Hro</w:t>
      </w:r>
      <w:r>
        <w:rPr>
          <w:rFonts w:ascii="Arial" w:hAnsi="Arial" w:cs="Arial"/>
          <w:sz w:val="24"/>
          <w:szCs w:val="24"/>
        </w:rPr>
        <w:t>na oplotenie nie je vybudované.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súčasnosti sa na expedičnom sklade dreva vykonáva manipulácia drevnej hmoty len ručne.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expedičnom sklade dreva pracujú 2 manipulačný robotníci a 2 technicko-hospodársky pracovníci, ktorí majú k dispozícii samostatnú sociálno-prevádzkovú budovu pre hygienu a prezliekanie, ktorá je situovaná za miestnou komunikáciou, v tesnej blízkosti drevoskladu.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drevosklade sa nachádzajú dve kontajnerové bunky, ktoré slúžia pre potreby prevádzky a tri elektrické stĺpy na ktorých je nainštalované elektrické osvetlenie a priemyselné kamery.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Medzi oplotením a koľajiskom lesníckej železničky (z južnej strany) je vybudovaná nová splašková obecná kanalizácia DN 300 mm. Zo severnej strany, za  kontajnerovou bunkou je vedené okrajom vodného toku (Čierny Hron)  oceľové potrubie – </w:t>
      </w:r>
      <w:proofErr w:type="spellStart"/>
      <w:r>
        <w:rPr>
          <w:rFonts w:ascii="Arial" w:hAnsi="Arial" w:cs="Arial"/>
          <w:sz w:val="24"/>
          <w:szCs w:val="24"/>
        </w:rPr>
        <w:t>chránička</w:t>
      </w:r>
      <w:proofErr w:type="spellEnd"/>
      <w:r>
        <w:rPr>
          <w:rFonts w:ascii="Arial" w:hAnsi="Arial" w:cs="Arial"/>
          <w:sz w:val="24"/>
          <w:szCs w:val="24"/>
        </w:rPr>
        <w:t xml:space="preserve"> neidentifikovateľného vedenia.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Ponad obecnou komunikáciou a prístupovým rázcestím je vedené vzdušné VN elektrické vedenie do blízkej trafostanice, z ktorej sú vyvedené vzdušné nízkonapäťové elektrické vedenia ďalej do obce.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Iné rozvody inžinierskych sietí na drevosklade a v blízkom okolí nie sú zaznamenané.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0117" w:rsidRDefault="00510117" w:rsidP="00B738BB">
      <w:pPr>
        <w:pStyle w:val="Nadpis3"/>
        <w:spacing w:after="0"/>
        <w:jc w:val="both"/>
        <w:rPr>
          <w:u w:val="single"/>
        </w:rPr>
      </w:pPr>
      <w:r>
        <w:rPr>
          <w:u w:val="single"/>
        </w:rPr>
        <w:t>3. ZDÔVODNENIE STAVBY:</w:t>
      </w:r>
    </w:p>
    <w:p w:rsidR="003C14BA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 dôvodu spresnenia hraníc medzi pozemkami vedenými v katastri nehnuteľností pod parcelnými číslami KN-C 1513/12 a KN-C 1513/1 sa investor rozhodol využiť časť svojho pozemku parcelné číslo KN-C 1513/12 medzi existujúcim oplotením z pletiva na kovových stĺpikoch a traťou lesnej železničky tak, aby nebola dotknutá obecná splašková kanalizácia, ktorá bola nedávno vybudovaná a je čiastočne vedená po tomto pozemku. Zo severozápadnej strany musí investor posunúť nové oplotenie na vopred vytýčenú hranicu (do vnútra drevoskladu). V tejto časti bude oplotenie tvoriť viacúčelová zábrana (</w:t>
      </w:r>
      <w:proofErr w:type="spellStart"/>
      <w:r>
        <w:rPr>
          <w:rFonts w:ascii="Arial" w:hAnsi="Arial" w:cs="Arial"/>
          <w:sz w:val="24"/>
          <w:szCs w:val="24"/>
        </w:rPr>
        <w:t>protihluková</w:t>
      </w:r>
      <w:proofErr w:type="spellEnd"/>
      <w:r>
        <w:rPr>
          <w:rFonts w:ascii="Arial" w:hAnsi="Arial" w:cs="Arial"/>
          <w:sz w:val="24"/>
          <w:szCs w:val="24"/>
        </w:rPr>
        <w:t xml:space="preserve">, proti šíreniu prachu a vizuálna) výšky 3 180 mm od </w:t>
      </w:r>
      <w:proofErr w:type="spellStart"/>
      <w:r>
        <w:rPr>
          <w:rFonts w:ascii="Arial" w:hAnsi="Arial" w:cs="Arial"/>
          <w:sz w:val="24"/>
          <w:szCs w:val="24"/>
        </w:rPr>
        <w:t>rastlého</w:t>
      </w:r>
      <w:proofErr w:type="spellEnd"/>
      <w:r>
        <w:rPr>
          <w:rFonts w:ascii="Arial" w:hAnsi="Arial" w:cs="Arial"/>
          <w:sz w:val="24"/>
          <w:szCs w:val="24"/>
        </w:rPr>
        <w:t xml:space="preserve"> terénu.</w:t>
      </w:r>
      <w:r w:rsidR="003A0577">
        <w:rPr>
          <w:rFonts w:ascii="Arial" w:hAnsi="Arial" w:cs="Arial"/>
          <w:sz w:val="24"/>
          <w:szCs w:val="24"/>
        </w:rPr>
        <w:t xml:space="preserve"> Medzi viacúčelovou zábranou a brehovou čiarou Čierneho Hrona (pobrežný pozemok) bude na dĺžke 4,0 m zhotovené prenosné oplotenie z </w:t>
      </w:r>
      <w:proofErr w:type="spellStart"/>
      <w:r w:rsidR="003A0577">
        <w:rPr>
          <w:rFonts w:ascii="Arial" w:hAnsi="Arial" w:cs="Arial"/>
          <w:sz w:val="24"/>
          <w:szCs w:val="24"/>
        </w:rPr>
        <w:t>poplastovaného</w:t>
      </w:r>
      <w:proofErr w:type="spellEnd"/>
      <w:r w:rsidR="003A0577">
        <w:rPr>
          <w:rFonts w:ascii="Arial" w:hAnsi="Arial" w:cs="Arial"/>
          <w:sz w:val="24"/>
          <w:szCs w:val="24"/>
        </w:rPr>
        <w:t xml:space="preserve"> pletiva ukončené oceľovým stĺpikom zabetónovaným v premiestniteľnej pätke, ktorá sa osadí </w:t>
      </w:r>
      <w:r w:rsidR="0086777D">
        <w:rPr>
          <w:rFonts w:ascii="Arial" w:hAnsi="Arial" w:cs="Arial"/>
          <w:sz w:val="24"/>
          <w:szCs w:val="24"/>
        </w:rPr>
        <w:t xml:space="preserve">voľne </w:t>
      </w:r>
      <w:r w:rsidR="003A0577">
        <w:rPr>
          <w:rFonts w:ascii="Arial" w:hAnsi="Arial" w:cs="Arial"/>
          <w:sz w:val="24"/>
          <w:szCs w:val="24"/>
        </w:rPr>
        <w:t xml:space="preserve">na povrch </w:t>
      </w:r>
      <w:proofErr w:type="spellStart"/>
      <w:r w:rsidR="003A0577">
        <w:rPr>
          <w:rFonts w:ascii="Arial" w:hAnsi="Arial" w:cs="Arial"/>
          <w:sz w:val="24"/>
          <w:szCs w:val="24"/>
        </w:rPr>
        <w:t>rastlého</w:t>
      </w:r>
      <w:proofErr w:type="spellEnd"/>
      <w:r w:rsidR="003A0577">
        <w:rPr>
          <w:rFonts w:ascii="Arial" w:hAnsi="Arial" w:cs="Arial"/>
          <w:sz w:val="24"/>
          <w:szCs w:val="24"/>
        </w:rPr>
        <w:t xml:space="preserve"> terénu. Pletivo bude nainštalované vo výške 0,5 m nad </w:t>
      </w:r>
      <w:proofErr w:type="spellStart"/>
      <w:r w:rsidR="003A0577">
        <w:rPr>
          <w:rFonts w:ascii="Arial" w:hAnsi="Arial" w:cs="Arial"/>
          <w:sz w:val="24"/>
          <w:szCs w:val="24"/>
        </w:rPr>
        <w:t>rastlým</w:t>
      </w:r>
      <w:proofErr w:type="spellEnd"/>
      <w:r w:rsidR="003A0577">
        <w:rPr>
          <w:rFonts w:ascii="Arial" w:hAnsi="Arial" w:cs="Arial"/>
          <w:sz w:val="24"/>
          <w:szCs w:val="24"/>
        </w:rPr>
        <w:t xml:space="preserve"> terénom.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 strany od lesnej železničky je navrhnuté nové oplotenie z </w:t>
      </w:r>
      <w:proofErr w:type="spellStart"/>
      <w:r>
        <w:rPr>
          <w:rFonts w:ascii="Arial" w:hAnsi="Arial" w:cs="Arial"/>
          <w:sz w:val="24"/>
          <w:szCs w:val="24"/>
        </w:rPr>
        <w:t>poplastovaného</w:t>
      </w:r>
      <w:proofErr w:type="spellEnd"/>
      <w:r>
        <w:rPr>
          <w:rFonts w:ascii="Arial" w:hAnsi="Arial" w:cs="Arial"/>
          <w:sz w:val="24"/>
          <w:szCs w:val="24"/>
        </w:rPr>
        <w:t xml:space="preserve"> pletiva výšky 2 000 mm pripevneného na oceľových stĺpikoch.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 vstupe</w:t>
      </w:r>
      <w:r w:rsidR="003A0577">
        <w:rPr>
          <w:rFonts w:ascii="Arial" w:hAnsi="Arial" w:cs="Arial"/>
          <w:sz w:val="24"/>
          <w:szCs w:val="24"/>
        </w:rPr>
        <w:t xml:space="preserve"> zo strany od bezmenného drobného vodného toku, ktorý je v správe LESOV SR š.p.</w:t>
      </w:r>
      <w:r>
        <w:rPr>
          <w:rFonts w:ascii="Arial" w:hAnsi="Arial" w:cs="Arial"/>
          <w:sz w:val="24"/>
          <w:szCs w:val="24"/>
        </w:rPr>
        <w:t xml:space="preserve"> bude nové oplotenie z </w:t>
      </w:r>
      <w:proofErr w:type="spellStart"/>
      <w:r>
        <w:rPr>
          <w:rFonts w:ascii="Arial" w:hAnsi="Arial" w:cs="Arial"/>
          <w:sz w:val="24"/>
          <w:szCs w:val="24"/>
        </w:rPr>
        <w:t>oborového</w:t>
      </w:r>
      <w:proofErr w:type="spellEnd"/>
      <w:r>
        <w:rPr>
          <w:rFonts w:ascii="Arial" w:hAnsi="Arial" w:cs="Arial"/>
          <w:sz w:val="24"/>
          <w:szCs w:val="24"/>
        </w:rPr>
        <w:t xml:space="preserve"> pletiva výšky 3 000 mm pripevneného na oceľových stĺpikoch s tieniacou sieťou (100 % tienenie) zelenej farby na zabránenie šíreniu prachu z areálu drevoskladu.</w:t>
      </w:r>
      <w:r w:rsidR="003A0577">
        <w:rPr>
          <w:rFonts w:ascii="Arial" w:hAnsi="Arial" w:cs="Arial"/>
          <w:sz w:val="24"/>
          <w:szCs w:val="24"/>
        </w:rPr>
        <w:t xml:space="preserve"> Toto oplotenie, ako aj premiestniteľné oplotenie zo strany pri brehovej čiare  Čierneho Hrona </w:t>
      </w:r>
      <w:r w:rsidR="0086777D">
        <w:rPr>
          <w:rFonts w:ascii="Arial" w:hAnsi="Arial" w:cs="Arial"/>
          <w:sz w:val="24"/>
          <w:szCs w:val="24"/>
        </w:rPr>
        <w:t xml:space="preserve">(pri ORL) </w:t>
      </w:r>
      <w:r w:rsidR="00623BAF">
        <w:rPr>
          <w:rFonts w:ascii="Arial" w:hAnsi="Arial" w:cs="Arial"/>
          <w:sz w:val="24"/>
          <w:szCs w:val="24"/>
        </w:rPr>
        <w:t xml:space="preserve">bude investorom stavby (OZ </w:t>
      </w:r>
      <w:proofErr w:type="spellStart"/>
      <w:r w:rsidR="00623BAF">
        <w:rPr>
          <w:rFonts w:ascii="Arial" w:hAnsi="Arial" w:cs="Arial"/>
          <w:sz w:val="24"/>
          <w:szCs w:val="24"/>
        </w:rPr>
        <w:t>ČIerny</w:t>
      </w:r>
      <w:proofErr w:type="spellEnd"/>
      <w:r w:rsidR="00623BAF">
        <w:rPr>
          <w:rFonts w:ascii="Arial" w:hAnsi="Arial" w:cs="Arial"/>
          <w:sz w:val="24"/>
          <w:szCs w:val="24"/>
        </w:rPr>
        <w:t xml:space="preserve"> Balog) bezodkladne odstránené počas realizácie protipovodňových opatrení správcom toku.</w:t>
      </w:r>
    </w:p>
    <w:p w:rsidR="00510117" w:rsidRDefault="00623BAF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Oplotenie</w:t>
      </w:r>
      <w:r w:rsidR="00510117">
        <w:rPr>
          <w:rFonts w:ascii="Arial" w:hAnsi="Arial" w:cs="Arial"/>
          <w:sz w:val="24"/>
          <w:szCs w:val="24"/>
        </w:rPr>
        <w:t xml:space="preserve"> budú chrániť prenosné oceľové zábrany v ktorých sa uskladní guľatina na novej spevnenej ploche</w:t>
      </w:r>
      <w:r>
        <w:rPr>
          <w:rFonts w:ascii="Arial" w:hAnsi="Arial" w:cs="Arial"/>
          <w:sz w:val="24"/>
          <w:szCs w:val="24"/>
        </w:rPr>
        <w:t>, osadené mimo pobrežných pozemkov Čierneho Hrona a bezmenného drobného vodného toku</w:t>
      </w:r>
      <w:r w:rsidR="00510117">
        <w:rPr>
          <w:rFonts w:ascii="Arial" w:hAnsi="Arial" w:cs="Arial"/>
          <w:sz w:val="24"/>
          <w:szCs w:val="24"/>
        </w:rPr>
        <w:t>.</w:t>
      </w:r>
    </w:p>
    <w:p w:rsidR="00510117" w:rsidRDefault="00623BAF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510117">
        <w:rPr>
          <w:rFonts w:ascii="Arial" w:hAnsi="Arial" w:cs="Arial"/>
          <w:sz w:val="24"/>
          <w:szCs w:val="24"/>
        </w:rPr>
        <w:t>stupná dvojkrídlová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10117">
        <w:rPr>
          <w:rFonts w:ascii="Arial" w:hAnsi="Arial" w:cs="Arial"/>
          <w:sz w:val="24"/>
          <w:szCs w:val="24"/>
        </w:rPr>
        <w:t>otvára</w:t>
      </w:r>
      <w:r>
        <w:rPr>
          <w:rFonts w:ascii="Arial" w:hAnsi="Arial" w:cs="Arial"/>
          <w:sz w:val="24"/>
          <w:szCs w:val="24"/>
        </w:rPr>
        <w:t>vá</w:t>
      </w:r>
      <w:proofErr w:type="spellEnd"/>
      <w:r>
        <w:rPr>
          <w:rFonts w:ascii="Arial" w:hAnsi="Arial" w:cs="Arial"/>
          <w:sz w:val="24"/>
          <w:szCs w:val="24"/>
        </w:rPr>
        <w:t xml:space="preserve"> brána bude zhotovená nová na pozemku investora.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0117" w:rsidRPr="009D540B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4. VÝCHODISKOVÉ A GEODETICKÉ PODKLADY: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Ako východiskové podklady pre vypracovanie dokumentácie pre potreby investora:</w:t>
      </w:r>
    </w:p>
    <w:p w:rsidR="00510117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</w:pPr>
      <w:proofErr w:type="spellStart"/>
      <w:r>
        <w:rPr>
          <w:rFonts w:ascii="Arial" w:hAnsi="Arial" w:cs="Arial"/>
          <w:sz w:val="24"/>
          <w:szCs w:val="24"/>
        </w:rPr>
        <w:t>ZoD</w:t>
      </w:r>
      <w:proofErr w:type="spellEnd"/>
      <w:r>
        <w:rPr>
          <w:rFonts w:ascii="Arial" w:hAnsi="Arial" w:cs="Arial"/>
          <w:sz w:val="24"/>
          <w:szCs w:val="24"/>
        </w:rPr>
        <w:t xml:space="preserve"> investora s opisom predmetu zákazky na vypracovanie projektovej dokumentácie,</w:t>
      </w:r>
    </w:p>
    <w:p w:rsidR="00510117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vstupný výrobný výbor zo dňa 27.09.2018,</w:t>
      </w:r>
    </w:p>
    <w:p w:rsidR="00510117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požiadavky užívateľa na riešenie projektovej dokumentácie,</w:t>
      </w:r>
    </w:p>
    <w:p w:rsidR="00510117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výrobný výbor k rozpracovanému projektu zo dňa 27.11.2018,</w:t>
      </w:r>
    </w:p>
    <w:p w:rsidR="00510117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kópia z katastrálnej mapy,</w:t>
      </w:r>
    </w:p>
    <w:p w:rsidR="00510117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výpis z katastra nehnuteľností,</w:t>
      </w:r>
    </w:p>
    <w:p w:rsidR="00510117" w:rsidRPr="0005422D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5422D">
        <w:rPr>
          <w:rFonts w:ascii="Arial" w:hAnsi="Arial" w:cs="Arial"/>
          <w:sz w:val="24"/>
          <w:szCs w:val="24"/>
        </w:rPr>
        <w:t>fotodokumentácia existujúceho stavu,</w:t>
      </w:r>
    </w:p>
    <w:p w:rsidR="00510117" w:rsidRDefault="00510117" w:rsidP="00B738BB">
      <w:pPr>
        <w:pStyle w:val="Odsekzoznamu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situácia zamerania skutočného stavu drevoskladu v M = 1:250 s polohopisom </w:t>
      </w:r>
    </w:p>
    <w:p w:rsidR="00510117" w:rsidRDefault="00510117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 výškopisom,</w:t>
      </w:r>
    </w:p>
    <w:p w:rsidR="00510117" w:rsidRDefault="00510117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 </w:t>
      </w:r>
      <w:r w:rsidR="00B738B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zameranie existujúceho NN elektrického vedenia dňa 20.11.2018.</w:t>
      </w:r>
    </w:p>
    <w:p w:rsidR="00623BAF" w:rsidRDefault="00623BAF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23BAF" w:rsidRDefault="00623BAF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SLOVENSKÝ VODOHOSPODÁRSKY PODNIK š.p., Odštepný závod Banská Bystrica vo svojom vyjadrení zo dňa 15.04.2019 stanovil podmienky pre realizovanie navrhovanej stavby - Stavebný objekt SO-03 OPLOTENIE:</w:t>
      </w:r>
    </w:p>
    <w:p w:rsidR="00623BAF" w:rsidRDefault="00623BAF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investor stavby sa zaväzuje, že v prípade potreby vstupu správcu vodného toku na pobrežné pozemky, resp. do koryta vodného toku pri </w:t>
      </w:r>
      <w:r w:rsidR="00E432B0">
        <w:rPr>
          <w:rFonts w:ascii="Arial" w:hAnsi="Arial" w:cs="Arial"/>
          <w:sz w:val="24"/>
          <w:szCs w:val="24"/>
        </w:rPr>
        <w:t>uskutočňovaní protipovodňových opatrení alebo údržby vodného toku bude tento vstup bez obmedzenia umožnený v celej dĺžke súbehu s vodným tokom (cca 160 m),</w:t>
      </w:r>
    </w:p>
    <w:p w:rsidR="00E432B0" w:rsidRDefault="00E432B0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 stavby, resp. ich časti, ktoré by v budúcnosti boli prekážkou pri údržbe vodného toku alebo pri realizácii protipovodňových opatrení budú na náklady investora a investorom odstránené (kontajnerová bunka a oplotenie),</w:t>
      </w:r>
    </w:p>
    <w:p w:rsidR="00E432B0" w:rsidRPr="003C14BA" w:rsidRDefault="00E432B0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správca vodného toku nebude zodpovedať za prípadne vzniknuté škody, ktoré môžu vzniknúť na objektoch stavby z titulu </w:t>
      </w:r>
      <w:proofErr w:type="spellStart"/>
      <w:r>
        <w:rPr>
          <w:rFonts w:ascii="Arial" w:hAnsi="Arial" w:cs="Arial"/>
          <w:sz w:val="24"/>
          <w:szCs w:val="24"/>
        </w:rPr>
        <w:t>vybreženia</w:t>
      </w:r>
      <w:proofErr w:type="spellEnd"/>
      <w:r>
        <w:rPr>
          <w:rFonts w:ascii="Arial" w:hAnsi="Arial" w:cs="Arial"/>
          <w:sz w:val="24"/>
          <w:szCs w:val="24"/>
        </w:rPr>
        <w:t xml:space="preserve"> vôd z vodného toku pri povodňových </w:t>
      </w:r>
      <w:proofErr w:type="spellStart"/>
      <w:r>
        <w:rPr>
          <w:rFonts w:ascii="Arial" w:hAnsi="Arial" w:cs="Arial"/>
          <w:sz w:val="24"/>
          <w:szCs w:val="24"/>
        </w:rPr>
        <w:t>situáciach</w:t>
      </w:r>
      <w:proofErr w:type="spellEnd"/>
      <w:r>
        <w:rPr>
          <w:rFonts w:ascii="Arial" w:hAnsi="Arial" w:cs="Arial"/>
          <w:sz w:val="24"/>
          <w:szCs w:val="24"/>
        </w:rPr>
        <w:t xml:space="preserve"> v záujmovej oblasti.</w:t>
      </w:r>
    </w:p>
    <w:p w:rsidR="00E432B0" w:rsidRPr="003C14BA" w:rsidRDefault="00E432B0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C14BA">
        <w:rPr>
          <w:rFonts w:ascii="Arial" w:hAnsi="Arial" w:cs="Arial"/>
          <w:b/>
          <w:sz w:val="24"/>
          <w:szCs w:val="24"/>
        </w:rPr>
        <w:t>Tieto požiadavky sú v projekte stavby EXPEDIČNÝ SKLAD ČIERNY BALOG zahrnuté.</w:t>
      </w:r>
    </w:p>
    <w:p w:rsidR="003B753C" w:rsidRDefault="003B753C" w:rsidP="00B738BB">
      <w:pPr>
        <w:spacing w:after="0"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510117" w:rsidRPr="003B753C" w:rsidRDefault="00510117" w:rsidP="00B738BB">
      <w:pPr>
        <w:spacing w:after="0"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5. STAVEBNO TECHNICKÉ RIEŠENIE STAVEBNÉHO OBJEKTU: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SO – 03  OPLOTENIE A PRENOSNÉ ZÁBRANY: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5.1. </w:t>
      </w:r>
      <w:r>
        <w:rPr>
          <w:rFonts w:ascii="Arial" w:hAnsi="Arial" w:cs="Arial"/>
          <w:b/>
          <w:sz w:val="24"/>
          <w:szCs w:val="24"/>
        </w:rPr>
        <w:t>Oplotenie zo strany od pozemku č. KN-C 1513/1 – viacúčelová zábrana: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Oplotenie – viacúčelová zábrana bude brániť šíreniu nadmerného hluku a aj prachu z areálu expedičného skladu dreva do okolitého priestoru.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Oplotenie je navrhnuté</w:t>
      </w:r>
      <w:r w:rsidR="00E432B0">
        <w:rPr>
          <w:rFonts w:ascii="Arial" w:hAnsi="Arial" w:cs="Arial"/>
          <w:sz w:val="26"/>
          <w:szCs w:val="26"/>
        </w:rPr>
        <w:t xml:space="preserve"> nepriehľadné, celkovej dĺžky 89</w:t>
      </w:r>
      <w:r>
        <w:rPr>
          <w:rFonts w:ascii="Arial" w:hAnsi="Arial" w:cs="Arial"/>
          <w:sz w:val="26"/>
          <w:szCs w:val="26"/>
        </w:rPr>
        <w:t xml:space="preserve">,30 m s jedným zalomením, výšky 3 180 mm od </w:t>
      </w:r>
      <w:proofErr w:type="spellStart"/>
      <w:r>
        <w:rPr>
          <w:rFonts w:ascii="Arial" w:hAnsi="Arial" w:cs="Arial"/>
          <w:sz w:val="26"/>
          <w:szCs w:val="26"/>
        </w:rPr>
        <w:t>rastlého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="00E432B0">
        <w:rPr>
          <w:rFonts w:ascii="Arial" w:hAnsi="Arial" w:cs="Arial"/>
          <w:sz w:val="26"/>
          <w:szCs w:val="26"/>
        </w:rPr>
        <w:t>terénu. Oplotenie bude tvoriť 21</w:t>
      </w:r>
      <w:r>
        <w:rPr>
          <w:rFonts w:ascii="Arial" w:hAnsi="Arial" w:cs="Arial"/>
          <w:sz w:val="26"/>
          <w:szCs w:val="26"/>
        </w:rPr>
        <w:t xml:space="preserve"> polí dĺžky po 4,00 m a pri zalomení 1 pole dĺžky 2,80 m a jedno pole dĺžky 2,50 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Oplotenie – viacúčelová zábrana bude začínať pri toku Čierneho Hrona</w:t>
      </w:r>
      <w:r w:rsidR="00E432B0">
        <w:rPr>
          <w:rFonts w:ascii="Arial" w:hAnsi="Arial" w:cs="Arial"/>
          <w:sz w:val="26"/>
          <w:szCs w:val="26"/>
        </w:rPr>
        <w:t>, mimo pobrežného pozemku Čierneho</w:t>
      </w:r>
      <w:r w:rsidR="003A4A6D">
        <w:rPr>
          <w:rFonts w:ascii="Arial" w:hAnsi="Arial" w:cs="Arial"/>
          <w:sz w:val="26"/>
          <w:szCs w:val="26"/>
        </w:rPr>
        <w:t xml:space="preserve"> Hrona (4,5 m od brehovej čiary)</w:t>
      </w:r>
      <w:r w:rsidR="00E432B0">
        <w:rPr>
          <w:rFonts w:ascii="Arial" w:hAnsi="Arial" w:cs="Arial"/>
          <w:sz w:val="26"/>
          <w:szCs w:val="26"/>
        </w:rPr>
        <w:t xml:space="preserve"> zabetónovaným oceľovým stĺpom</w:t>
      </w:r>
      <w:r w:rsidR="003A4A6D">
        <w:rPr>
          <w:rFonts w:ascii="Arial" w:hAnsi="Arial" w:cs="Arial"/>
          <w:sz w:val="26"/>
          <w:szCs w:val="26"/>
        </w:rPr>
        <w:t>. Ďalej</w:t>
      </w:r>
      <w:r>
        <w:rPr>
          <w:rFonts w:ascii="Arial" w:hAnsi="Arial" w:cs="Arial"/>
          <w:sz w:val="26"/>
          <w:szCs w:val="26"/>
        </w:rPr>
        <w:t xml:space="preserve"> pôjde</w:t>
      </w:r>
      <w:r w:rsidR="003A4A6D">
        <w:rPr>
          <w:rFonts w:ascii="Arial" w:hAnsi="Arial" w:cs="Arial"/>
          <w:sz w:val="26"/>
          <w:szCs w:val="26"/>
        </w:rPr>
        <w:t xml:space="preserve"> viacúčelová zábrana</w:t>
      </w:r>
      <w:r>
        <w:rPr>
          <w:rFonts w:ascii="Arial" w:hAnsi="Arial" w:cs="Arial"/>
          <w:sz w:val="26"/>
          <w:szCs w:val="26"/>
        </w:rPr>
        <w:t xml:space="preserve"> v priamke, po vytýčenej hranici pozemku</w:t>
      </w:r>
      <w:r w:rsidR="003A4A6D">
        <w:rPr>
          <w:rFonts w:ascii="Arial" w:hAnsi="Arial" w:cs="Arial"/>
          <w:sz w:val="26"/>
          <w:szCs w:val="26"/>
        </w:rPr>
        <w:t xml:space="preserve"> 1513/1</w:t>
      </w:r>
      <w:r>
        <w:rPr>
          <w:rFonts w:ascii="Arial" w:hAnsi="Arial" w:cs="Arial"/>
          <w:sz w:val="26"/>
          <w:szCs w:val="26"/>
        </w:rPr>
        <w:t xml:space="preserve"> (na hranici pozemku bude situovaný vonkajší okraj základovej pätky) a po 34,80 m sa zalomí pod uhlom 49° v smere na existujúce oplotenie, kde bude pokračovať v dĺžke 58,50 m.</w:t>
      </w:r>
    </w:p>
    <w:p w:rsidR="003A4A6D" w:rsidRDefault="003A4A6D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Na pobrežnom pozemku toku Čierneho Hrona (medzi prvým stĺpom viacúčelovej zábrany a brehovou čiarou) je navrhnuté premiestniteľné oplotenie na dĺžke 4,0 m z </w:t>
      </w:r>
      <w:proofErr w:type="spellStart"/>
      <w:r>
        <w:rPr>
          <w:rFonts w:ascii="Arial" w:hAnsi="Arial" w:cs="Arial"/>
          <w:sz w:val="26"/>
          <w:szCs w:val="26"/>
        </w:rPr>
        <w:t>poplastovaného</w:t>
      </w:r>
      <w:proofErr w:type="spellEnd"/>
      <w:r>
        <w:rPr>
          <w:rFonts w:ascii="Arial" w:hAnsi="Arial" w:cs="Arial"/>
          <w:sz w:val="26"/>
          <w:szCs w:val="26"/>
        </w:rPr>
        <w:t xml:space="preserve"> pletiva výšky 2,0 m nainštalovaného minimálne 0,50 m nad úrovňou upraveného terénu. Oceľový stĺpik pri brehovej čiare bude osadený v premiestniteľnej betónovej pätke (</w:t>
      </w:r>
      <w:proofErr w:type="spellStart"/>
      <w:r>
        <w:rPr>
          <w:rFonts w:ascii="Arial" w:hAnsi="Arial" w:cs="Arial"/>
          <w:sz w:val="26"/>
          <w:szCs w:val="26"/>
        </w:rPr>
        <w:t>staveništný</w:t>
      </w:r>
      <w:proofErr w:type="spellEnd"/>
      <w:r>
        <w:rPr>
          <w:rFonts w:ascii="Arial" w:hAnsi="Arial" w:cs="Arial"/>
          <w:sz w:val="26"/>
          <w:szCs w:val="26"/>
        </w:rPr>
        <w:t xml:space="preserve"> prefabrikát) osadenej na povrchu upraveného terénu. </w:t>
      </w:r>
    </w:p>
    <w:p w:rsidR="003A4A6D" w:rsidRDefault="003A4A6D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Premiestniteľné oplotenie z pobrežného pozemku Čierneho Hrona odstráni investor (OZ Čierny Balog) počas realizovania protipovodňových opatrení, alt. údržby vodného toku jeho správcom.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Viacúčelová zábrana</w:t>
      </w:r>
      <w:r w:rsidR="003A4A6D">
        <w:rPr>
          <w:rFonts w:ascii="Arial" w:hAnsi="Arial" w:cs="Arial"/>
          <w:sz w:val="26"/>
          <w:szCs w:val="26"/>
        </w:rPr>
        <w:t xml:space="preserve"> na dĺžke 89,3 m</w:t>
      </w:r>
      <w:r>
        <w:rPr>
          <w:rFonts w:ascii="Arial" w:hAnsi="Arial" w:cs="Arial"/>
          <w:sz w:val="26"/>
          <w:szCs w:val="26"/>
        </w:rPr>
        <w:t xml:space="preserve"> je navrhnutá z oceľových stojok HEA 140 mm valcovaných za tepla, celkovej dĺžky 3 980 mm, ktoré budú zabetónované v základových pätkách do hĺbky 800 mm. Na spodkoch stojok HEA 140 budú privarené </w:t>
      </w:r>
      <w:proofErr w:type="spellStart"/>
      <w:r>
        <w:rPr>
          <w:rFonts w:ascii="Arial" w:hAnsi="Arial" w:cs="Arial"/>
          <w:sz w:val="26"/>
          <w:szCs w:val="26"/>
        </w:rPr>
        <w:t>roznášacie</w:t>
      </w:r>
      <w:proofErr w:type="spellEnd"/>
      <w:r>
        <w:rPr>
          <w:rFonts w:ascii="Arial" w:hAnsi="Arial" w:cs="Arial"/>
          <w:sz w:val="26"/>
          <w:szCs w:val="26"/>
        </w:rPr>
        <w:t xml:space="preserve"> pásoviny prierezu 200x5 mm a dĺžky 400 mm. Základové pätky sú navrhnuté rozmerov 1 300/800 mm z betónu C16/20 do hĺbky 1 200 mm. Osovo budú stojky HEA 140 vzdialené od seba po 4 000 mm. Medzi dve stojky, ktoré tvora vždy jedno pole budú uložené na základové pätky železobetónové akustické </w:t>
      </w:r>
      <w:proofErr w:type="spellStart"/>
      <w:r>
        <w:rPr>
          <w:rFonts w:ascii="Arial" w:hAnsi="Arial" w:cs="Arial"/>
          <w:sz w:val="26"/>
          <w:szCs w:val="26"/>
        </w:rPr>
        <w:t>odrazivé</w:t>
      </w:r>
      <w:proofErr w:type="spellEnd"/>
      <w:r>
        <w:rPr>
          <w:rFonts w:ascii="Arial" w:hAnsi="Arial" w:cs="Arial"/>
          <w:sz w:val="26"/>
          <w:szCs w:val="26"/>
        </w:rPr>
        <w:t xml:space="preserve"> panely 110/600, dĺžky 3 955 mm, výšky 600 mm a hrúbky 110 mm. Nad </w:t>
      </w:r>
      <w:proofErr w:type="spellStart"/>
      <w:r>
        <w:rPr>
          <w:rFonts w:ascii="Arial" w:hAnsi="Arial" w:cs="Arial"/>
          <w:sz w:val="26"/>
          <w:szCs w:val="26"/>
        </w:rPr>
        <w:t>odrazivým</w:t>
      </w:r>
      <w:proofErr w:type="spellEnd"/>
      <w:r>
        <w:rPr>
          <w:rFonts w:ascii="Arial" w:hAnsi="Arial" w:cs="Arial"/>
          <w:sz w:val="26"/>
          <w:szCs w:val="26"/>
        </w:rPr>
        <w:t xml:space="preserve"> panelom  bude medzera výšky 10 mm a potom sa uloží 17 ks drevených hobľovaných hranolov so skosenými hranami prierezu 110/150 mm. Po uložení výplne z drevených hranolov budú hlavy stojok uzavreté privareným oceľovým profilom UPE 160 mm na ležato, ktorý zabezpečí pozdĺžnu tuhosť zábrany.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Ku vodorovným dreveným hranolom 110/150 mm sa priskrutkujú zo strany od drevoskladu zvislé hobľované drevené prvky prierezu 40/50 mm, dĺžky 2 450 </w:t>
      </w:r>
      <w:proofErr w:type="spellStart"/>
      <w:r>
        <w:rPr>
          <w:rFonts w:ascii="Arial" w:hAnsi="Arial" w:cs="Arial"/>
          <w:sz w:val="26"/>
          <w:szCs w:val="26"/>
        </w:rPr>
        <w:t>mmso</w:t>
      </w:r>
      <w:proofErr w:type="spellEnd"/>
      <w:r>
        <w:rPr>
          <w:rFonts w:ascii="Arial" w:hAnsi="Arial" w:cs="Arial"/>
          <w:sz w:val="26"/>
          <w:szCs w:val="26"/>
        </w:rPr>
        <w:t xml:space="preserve"> zaoblenou vonkajšou stranou a skosenou vrchnou hlavou pod uhlom 45 °. Osové vzdialenosti medzi zvislými drevenými prvkami 40/50 mm budú 400 mm.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Oceľovú konštrukciu treba natrieť základným náterom a 2 x vrchným emailovým náterom tmavohnedého odtieňu. Drevené prvky sú navrhnuté natrieť 1 x impregnačným náterom voči hnilobe a 2 x </w:t>
      </w:r>
      <w:proofErr w:type="spellStart"/>
      <w:r>
        <w:rPr>
          <w:rFonts w:ascii="Arial" w:hAnsi="Arial" w:cs="Arial"/>
          <w:sz w:val="26"/>
          <w:szCs w:val="26"/>
        </w:rPr>
        <w:t>lazúrovacím</w:t>
      </w:r>
      <w:proofErr w:type="spellEnd"/>
      <w:r>
        <w:rPr>
          <w:rFonts w:ascii="Arial" w:hAnsi="Arial" w:cs="Arial"/>
          <w:sz w:val="26"/>
          <w:szCs w:val="26"/>
        </w:rPr>
        <w:t xml:space="preserve"> lakom odolným voči ÚV žiareniu.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5.2. Oplotenie z </w:t>
      </w:r>
      <w:proofErr w:type="spellStart"/>
      <w:r>
        <w:rPr>
          <w:rFonts w:ascii="Arial" w:hAnsi="Arial" w:cs="Arial"/>
          <w:b/>
          <w:sz w:val="26"/>
          <w:szCs w:val="26"/>
        </w:rPr>
        <w:t>poplastovaného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pletiva výšky 2,00 m na oceľových stĺpikoch zo strany od lesnej železničky: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Toto navrhnuté oplotenie bude začínať pri ukončení viacúčelovej zábrany, kde je lom tras</w:t>
      </w:r>
      <w:r w:rsidR="003A4A6D">
        <w:rPr>
          <w:rFonts w:ascii="Arial" w:hAnsi="Arial" w:cs="Arial"/>
          <w:sz w:val="26"/>
          <w:szCs w:val="26"/>
        </w:rPr>
        <w:t>y pod uhlom 38°30´ a bude vedené</w:t>
      </w:r>
      <w:r>
        <w:rPr>
          <w:rFonts w:ascii="Arial" w:hAnsi="Arial" w:cs="Arial"/>
          <w:sz w:val="26"/>
          <w:szCs w:val="26"/>
        </w:rPr>
        <w:t xml:space="preserve"> v priamke ku existujúcemu pletivovému oploteniu na oceľových stĺpikoch.</w:t>
      </w:r>
      <w:r w:rsidR="003A4A6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Toto oplotenie bude mať celkovú dĺžku 36,0 m a bude sa skladať z 12 polí po 3,00 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Oplotenie je navrhnuté z oceľových stĺpikov ø 51x2,60 mm, celkovej dĺžky 2 600 mm, zabetónovaných v základových pätkách rozmerov 400/400 mm z betónu C16/20 do hĺbky 800 mm. V betónových pätkách budú oceľové stĺpiky zapustené 500 mm. Spodky oceľových stĺpikov budú opatrené stabilizačnou pásovinou 160x5,0 mm – dĺžky 150 mm. Nad upraveným terénom budú stĺpiky vyčnievať 2 100 mm. Oceľové stĺpiky budú od seba vzdialené po 3 000 mm.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Na začiatku i konci a v strede polí sú navrhnuté ku zvislým stĺpikom privariť obojstranné vzpery z oceľových rúrok ø 51x2,60 mm, ktoré budú zabetónované v základových pätkách z betónu C 16/20, vo vrchnej časti lievikovite rozšírených. V hornej časti budú stĺpiky zaslepené privarenými vypuklými čiapočkami z oceľového plechu, alt. plastovými </w:t>
      </w:r>
      <w:proofErr w:type="spellStart"/>
      <w:r>
        <w:rPr>
          <w:rFonts w:ascii="Arial" w:hAnsi="Arial" w:cs="Arial"/>
          <w:sz w:val="26"/>
          <w:szCs w:val="26"/>
        </w:rPr>
        <w:t>záslepkami</w:t>
      </w:r>
      <w:proofErr w:type="spellEnd"/>
      <w:r>
        <w:rPr>
          <w:rFonts w:ascii="Arial" w:hAnsi="Arial" w:cs="Arial"/>
          <w:sz w:val="26"/>
          <w:szCs w:val="26"/>
        </w:rPr>
        <w:t xml:space="preserve">. Na oceľových stĺpikoch budú v predpísaných </w:t>
      </w:r>
      <w:proofErr w:type="spellStart"/>
      <w:r>
        <w:rPr>
          <w:rFonts w:ascii="Arial" w:hAnsi="Arial" w:cs="Arial"/>
          <w:sz w:val="26"/>
          <w:szCs w:val="26"/>
        </w:rPr>
        <w:t>roztečiach</w:t>
      </w:r>
      <w:proofErr w:type="spellEnd"/>
      <w:r>
        <w:rPr>
          <w:rFonts w:ascii="Arial" w:hAnsi="Arial" w:cs="Arial"/>
          <w:sz w:val="26"/>
          <w:szCs w:val="26"/>
        </w:rPr>
        <w:t xml:space="preserve"> privarené šesťhranné matice M8. Na oceľové stĺpiky bude pomocou štyroch radov </w:t>
      </w:r>
      <w:proofErr w:type="spellStart"/>
      <w:r>
        <w:rPr>
          <w:rFonts w:ascii="Arial" w:hAnsi="Arial" w:cs="Arial"/>
          <w:sz w:val="26"/>
          <w:szCs w:val="26"/>
        </w:rPr>
        <w:t>poplastovaných</w:t>
      </w:r>
      <w:proofErr w:type="spellEnd"/>
      <w:r>
        <w:rPr>
          <w:rFonts w:ascii="Arial" w:hAnsi="Arial" w:cs="Arial"/>
          <w:sz w:val="26"/>
          <w:szCs w:val="26"/>
        </w:rPr>
        <w:t xml:space="preserve"> napínacích drôtov ø 3,70 mm natiahnuté </w:t>
      </w:r>
      <w:proofErr w:type="spellStart"/>
      <w:r>
        <w:rPr>
          <w:rFonts w:ascii="Arial" w:hAnsi="Arial" w:cs="Arial"/>
          <w:sz w:val="26"/>
          <w:szCs w:val="26"/>
        </w:rPr>
        <w:t>poplastované</w:t>
      </w:r>
      <w:proofErr w:type="spellEnd"/>
      <w:r>
        <w:rPr>
          <w:rFonts w:ascii="Arial" w:hAnsi="Arial" w:cs="Arial"/>
          <w:sz w:val="26"/>
          <w:szCs w:val="26"/>
        </w:rPr>
        <w:t xml:space="preserve"> pletivo s okami 60 x 60 mm, výšky 2 000 mm. Pletivo by malo byť vo výške minimálne 50 mm od upraveného terénu. Oceľové stĺpiky treba natrieť základným náterom a 2 x vrchným emailom tmavozeleného odtieňu.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Výkopy pre základové pätky sú uvažované v zemine triedy </w:t>
      </w:r>
      <w:proofErr w:type="spellStart"/>
      <w:r>
        <w:rPr>
          <w:rFonts w:ascii="Arial" w:hAnsi="Arial" w:cs="Arial"/>
          <w:sz w:val="26"/>
          <w:szCs w:val="26"/>
        </w:rPr>
        <w:t>ťažiteľnosti</w:t>
      </w:r>
      <w:proofErr w:type="spellEnd"/>
      <w:r>
        <w:rPr>
          <w:rFonts w:ascii="Arial" w:hAnsi="Arial" w:cs="Arial"/>
          <w:sz w:val="26"/>
          <w:szCs w:val="26"/>
        </w:rPr>
        <w:t xml:space="preserve"> IV.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5.3. Oplotenie z </w:t>
      </w:r>
      <w:proofErr w:type="spellStart"/>
      <w:r>
        <w:rPr>
          <w:rFonts w:ascii="Arial" w:hAnsi="Arial" w:cs="Arial"/>
          <w:b/>
          <w:sz w:val="26"/>
          <w:szCs w:val="26"/>
        </w:rPr>
        <w:t>oborového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pletiva výšky 3,00 m na oceľových </w:t>
      </w:r>
      <w:r w:rsidR="00F042D4">
        <w:rPr>
          <w:rFonts w:ascii="Arial" w:hAnsi="Arial" w:cs="Arial"/>
          <w:b/>
          <w:sz w:val="26"/>
          <w:szCs w:val="26"/>
        </w:rPr>
        <w:t xml:space="preserve">stĺpikoch zo strany od bezmenného drobného vodného toku </w:t>
      </w:r>
      <w:r>
        <w:rPr>
          <w:rFonts w:ascii="Arial" w:hAnsi="Arial" w:cs="Arial"/>
          <w:b/>
          <w:sz w:val="26"/>
          <w:szCs w:val="26"/>
        </w:rPr>
        <w:t>(vstupu):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Tento druh oplotenia je navrhnutý od vstupnej brány pri rúrovom priepuste a povedie po existuj</w:t>
      </w:r>
      <w:r w:rsidR="00F042D4">
        <w:rPr>
          <w:rFonts w:ascii="Arial" w:hAnsi="Arial" w:cs="Arial"/>
          <w:sz w:val="26"/>
          <w:szCs w:val="26"/>
        </w:rPr>
        <w:t>úcej rímse, ďalej popri bezmennom drobnom vodnom toku</w:t>
      </w:r>
      <w:r>
        <w:rPr>
          <w:rFonts w:ascii="Arial" w:hAnsi="Arial" w:cs="Arial"/>
          <w:sz w:val="26"/>
          <w:szCs w:val="26"/>
        </w:rPr>
        <w:t xml:space="preserve"> ku existujúcej drevenej lávke, kde bude osadená vstupná bránička pre pešie osoby. Oplotenie bude ukončené pri </w:t>
      </w:r>
      <w:r w:rsidR="00F042D4">
        <w:rPr>
          <w:rFonts w:ascii="Arial" w:hAnsi="Arial" w:cs="Arial"/>
          <w:sz w:val="26"/>
          <w:szCs w:val="26"/>
        </w:rPr>
        <w:t>existujúcej kontajnerovej bunke vo vzdialenosti 3,0 m od brehovej čiary Čierneho Hrona.</w:t>
      </w:r>
    </w:p>
    <w:p w:rsidR="00F042D4" w:rsidRDefault="00F042D4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Bezmenný drobný vodný tok je v súčasnosti v správe investora - OZ Čierny Balog a prístup ku nemu je zabezpečený z voľného pravého brehu.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Celková dĺžka tohto druhu oplotenia bude 26,3 m.</w:t>
      </w:r>
    </w:p>
    <w:p w:rsidR="00F042D4" w:rsidRDefault="00F042D4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Toto oplotenie (zo strany bezmenného DVT) spolu s dvoma existujúcimi kontajnerovými bunkami investor (OZ Čierny Balog) bezodkladne odstráni počas realizácie protipovodňových opatrení.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Oplotenie je navrhnuté z oceľových stĺpikov - rúrok ø 60,3x3,20 mm, celkovej dĺžky 3 600 mm, zabetónovaných v základových pätkách rozmerov 400/400 mm z betónu C16/20 do hĺbky 800 mm. V betónových pätkách budú oceľové stĺpiky zapustené 500 mm. Spodky oceľových stĺpikov budú opatrené stabilizačnou pásovinou 160x5,0 mm – dĺžky 150 mm. Nad upraveným terénom budú stĺpiky vyčnievať 3 100 mm. Oceľové stĺpiky budú od seba vzdialené po 3 000 mm, alternatívne vzdialenosť medzi stĺpikmi sa upraví podľa ukončenia jednotlivých polí.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Na začiatku i konci a v strede polí sú navrhnuté ku zvislým stĺpikom privariť obojstranné vzpery z oceľových rúrok ø 60,3x3,20 mm, ktoré budú zabetónované v základových pätkách z betónu C 16/20, vo vrchnej časti lievikovite rozšírených. V hornej časti budú stĺpiky zaslepené privarenými vypuklými čiapočkami z oceľového plechu, alt. plastovými </w:t>
      </w:r>
      <w:proofErr w:type="spellStart"/>
      <w:r>
        <w:rPr>
          <w:rFonts w:ascii="Arial" w:hAnsi="Arial" w:cs="Arial"/>
          <w:sz w:val="26"/>
          <w:szCs w:val="26"/>
        </w:rPr>
        <w:t>záslepkami</w:t>
      </w:r>
      <w:proofErr w:type="spellEnd"/>
      <w:r>
        <w:rPr>
          <w:rFonts w:ascii="Arial" w:hAnsi="Arial" w:cs="Arial"/>
          <w:sz w:val="26"/>
          <w:szCs w:val="26"/>
        </w:rPr>
        <w:t xml:space="preserve">. Na oceľových stĺpikoch budú v predpísaných </w:t>
      </w:r>
      <w:proofErr w:type="spellStart"/>
      <w:r>
        <w:rPr>
          <w:rFonts w:ascii="Arial" w:hAnsi="Arial" w:cs="Arial"/>
          <w:sz w:val="26"/>
          <w:szCs w:val="26"/>
        </w:rPr>
        <w:t>roztečiach</w:t>
      </w:r>
      <w:proofErr w:type="spellEnd"/>
      <w:r>
        <w:rPr>
          <w:rFonts w:ascii="Arial" w:hAnsi="Arial" w:cs="Arial"/>
          <w:sz w:val="26"/>
          <w:szCs w:val="26"/>
        </w:rPr>
        <w:t xml:space="preserve"> privarené šesťhranné matice M8 pre upevnenie napínacích drôtov. Na oceľové stĺpiky bude pomocou štyroch radov </w:t>
      </w:r>
      <w:proofErr w:type="spellStart"/>
      <w:r>
        <w:rPr>
          <w:rFonts w:ascii="Arial" w:hAnsi="Arial" w:cs="Arial"/>
          <w:sz w:val="26"/>
          <w:szCs w:val="26"/>
        </w:rPr>
        <w:t>poplastovaných</w:t>
      </w:r>
      <w:proofErr w:type="spellEnd"/>
      <w:r>
        <w:rPr>
          <w:rFonts w:ascii="Arial" w:hAnsi="Arial" w:cs="Arial"/>
          <w:sz w:val="26"/>
          <w:szCs w:val="26"/>
        </w:rPr>
        <w:t xml:space="preserve"> napínacích drôtov ø 3,70 mm natiahnuté </w:t>
      </w:r>
      <w:proofErr w:type="spellStart"/>
      <w:r>
        <w:rPr>
          <w:rFonts w:ascii="Arial" w:hAnsi="Arial" w:cs="Arial"/>
          <w:sz w:val="26"/>
          <w:szCs w:val="26"/>
        </w:rPr>
        <w:t>oborové</w:t>
      </w:r>
      <w:proofErr w:type="spellEnd"/>
      <w:r>
        <w:rPr>
          <w:rFonts w:ascii="Arial" w:hAnsi="Arial" w:cs="Arial"/>
          <w:sz w:val="26"/>
          <w:szCs w:val="26"/>
        </w:rPr>
        <w:t xml:space="preserve"> pozinkované pletivo s okami 100 x 100 mm ø 5,0 mm, výšky 3 000 mm. Pletivo by malo byť vo výške minimálne 50 mm od upraveného terénu. Na </w:t>
      </w:r>
      <w:proofErr w:type="spellStart"/>
      <w:r>
        <w:rPr>
          <w:rFonts w:ascii="Arial" w:hAnsi="Arial" w:cs="Arial"/>
          <w:sz w:val="26"/>
          <w:szCs w:val="26"/>
        </w:rPr>
        <w:t>oborovom</w:t>
      </w:r>
      <w:proofErr w:type="spellEnd"/>
      <w:r>
        <w:rPr>
          <w:rFonts w:ascii="Arial" w:hAnsi="Arial" w:cs="Arial"/>
          <w:sz w:val="26"/>
          <w:szCs w:val="26"/>
        </w:rPr>
        <w:t xml:space="preserve"> pletive bude z vonkajšej strany pripevnená tieniaca sieť tmavozelenej farby so 100 % </w:t>
      </w:r>
      <w:proofErr w:type="spellStart"/>
      <w:r>
        <w:rPr>
          <w:rFonts w:ascii="Arial" w:hAnsi="Arial" w:cs="Arial"/>
          <w:sz w:val="26"/>
          <w:szCs w:val="26"/>
        </w:rPr>
        <w:t>nepriehladnosťou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Vstupná jednokrídlová </w:t>
      </w:r>
      <w:proofErr w:type="spellStart"/>
      <w:r>
        <w:rPr>
          <w:rFonts w:ascii="Arial" w:hAnsi="Arial" w:cs="Arial"/>
          <w:sz w:val="26"/>
          <w:szCs w:val="26"/>
        </w:rPr>
        <w:t>otváravá</w:t>
      </w:r>
      <w:proofErr w:type="spellEnd"/>
      <w:r>
        <w:rPr>
          <w:rFonts w:ascii="Arial" w:hAnsi="Arial" w:cs="Arial"/>
          <w:sz w:val="26"/>
          <w:szCs w:val="26"/>
        </w:rPr>
        <w:t xml:space="preserve"> bránka, pri existujúcej drevenej lávke bude šírky 1 000 mm, výšky 2 500 mm, osadená 100 mm nad upraveným terénom. Bránka je navrhnutá z oceľových rúrok ø 51x2,60 mm navzájom spojených zvarmi. Výplň bude tvoriť </w:t>
      </w:r>
      <w:proofErr w:type="spellStart"/>
      <w:r>
        <w:rPr>
          <w:rFonts w:ascii="Arial" w:hAnsi="Arial" w:cs="Arial"/>
          <w:sz w:val="26"/>
          <w:szCs w:val="26"/>
        </w:rPr>
        <w:t>oborové</w:t>
      </w:r>
      <w:proofErr w:type="spellEnd"/>
      <w:r>
        <w:rPr>
          <w:rFonts w:ascii="Arial" w:hAnsi="Arial" w:cs="Arial"/>
          <w:sz w:val="26"/>
          <w:szCs w:val="26"/>
        </w:rPr>
        <w:t xml:space="preserve"> pozinkované pletivo s okami 100 x 100 mm ø 5,0 mm, výšky 2 500 mm a tieniaca sieť.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Oceľové stĺpiky treba natrieť základným náterom a 2 x vrchným emailom tmavozeleného odtieňu.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Výkopy pre základové pätk</w:t>
      </w:r>
      <w:r w:rsidR="00F042D4">
        <w:rPr>
          <w:rFonts w:ascii="Arial" w:hAnsi="Arial" w:cs="Arial"/>
          <w:sz w:val="26"/>
          <w:szCs w:val="26"/>
        </w:rPr>
        <w:t xml:space="preserve">y sú uvažované v zemine triedy </w:t>
      </w:r>
      <w:proofErr w:type="spellStart"/>
      <w:r w:rsidR="00F042D4">
        <w:rPr>
          <w:rFonts w:ascii="Arial" w:hAnsi="Arial" w:cs="Arial"/>
          <w:sz w:val="26"/>
          <w:szCs w:val="26"/>
        </w:rPr>
        <w:t>ť</w:t>
      </w:r>
      <w:r>
        <w:rPr>
          <w:rFonts w:ascii="Arial" w:hAnsi="Arial" w:cs="Arial"/>
          <w:sz w:val="26"/>
          <w:szCs w:val="26"/>
        </w:rPr>
        <w:t>ažiteľnosti</w:t>
      </w:r>
      <w:proofErr w:type="spellEnd"/>
      <w:r>
        <w:rPr>
          <w:rFonts w:ascii="Arial" w:hAnsi="Arial" w:cs="Arial"/>
          <w:sz w:val="26"/>
          <w:szCs w:val="26"/>
        </w:rPr>
        <w:t xml:space="preserve"> IV.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5.4. Vstupná dvojkrídlová brána šírky 7,50 m a výšky 2,50 m </w:t>
      </w:r>
      <w:r>
        <w:rPr>
          <w:rFonts w:ascii="Arial" w:hAnsi="Arial" w:cs="Arial"/>
          <w:sz w:val="26"/>
          <w:szCs w:val="26"/>
        </w:rPr>
        <w:t>bude osadená pri vjazde do expedičného skladu za rúrovým priepustom na pozemku číslo KN-C 1513/12 a bude nadväzovať na existujúce oplotenie na ľavej strane vstupu a navrhované oplotenie  výšky na pravej strane vstupu.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Krídla brány budú osadené na oceľových rúrach DN 159x5,6 mm, ktoré budú opatrené na spodkoch pásovinou 200x5 mm, dĺžky 300 mm. Oceľové rúry sa zabetónujú do základových pätiek 800/800 mm, hĺbky 1 000 mm z betónu C216/20 do hĺbky 600 mm. Osovo budú rúry (stojky) od seba vzdialené 7 500 mm. Výška stojok nad upraveným terénom je navrhnutá 3 000 mm.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Krídla brány sú navrhnuté z tenkostenných uzavretých obdĺžnikových profilov (</w:t>
      </w:r>
      <w:proofErr w:type="spellStart"/>
      <w:r>
        <w:rPr>
          <w:rFonts w:ascii="Arial" w:hAnsi="Arial" w:cs="Arial"/>
          <w:sz w:val="26"/>
          <w:szCs w:val="26"/>
        </w:rPr>
        <w:t>jäcklových</w:t>
      </w:r>
      <w:proofErr w:type="spellEnd"/>
      <w:r>
        <w:rPr>
          <w:rFonts w:ascii="Arial" w:hAnsi="Arial" w:cs="Arial"/>
          <w:sz w:val="26"/>
          <w:szCs w:val="26"/>
        </w:rPr>
        <w:t xml:space="preserve">) prierezu 60x40x2 mm, výšky 2 500, osadené 200 mm nad upraveným terénom. Krídla brány budú opatrené otáčavými kolieskami pripevnených na otáčavej oske. Uzavretie krídiel je navrhnuté otvárateľnou závorou s krytkou pre visiaci zámok (aby ho nebolo možné rozrezať). Krídla v otvorenej i uzatvorenej polohe budú istené </w:t>
      </w:r>
      <w:proofErr w:type="spellStart"/>
      <w:r>
        <w:rPr>
          <w:rFonts w:ascii="Arial" w:hAnsi="Arial" w:cs="Arial"/>
          <w:sz w:val="26"/>
          <w:szCs w:val="26"/>
        </w:rPr>
        <w:t>rozperkami</w:t>
      </w:r>
      <w:proofErr w:type="spellEnd"/>
      <w:r>
        <w:rPr>
          <w:rFonts w:ascii="Arial" w:hAnsi="Arial" w:cs="Arial"/>
          <w:sz w:val="26"/>
          <w:szCs w:val="26"/>
        </w:rPr>
        <w:t xml:space="preserve"> ø 12 mm, ktoré sa zasunú do vopred zabetónovaných rúrok ø 16 </w:t>
      </w:r>
      <w:proofErr w:type="spellStart"/>
      <w:r>
        <w:rPr>
          <w:rFonts w:ascii="Arial" w:hAnsi="Arial" w:cs="Arial"/>
          <w:sz w:val="26"/>
          <w:szCs w:val="26"/>
        </w:rPr>
        <w:t>mm.Výplň</w:t>
      </w:r>
      <w:proofErr w:type="spellEnd"/>
      <w:r>
        <w:rPr>
          <w:rFonts w:ascii="Arial" w:hAnsi="Arial" w:cs="Arial"/>
          <w:sz w:val="26"/>
          <w:szCs w:val="26"/>
        </w:rPr>
        <w:t xml:space="preserve"> krídiel bude tvoriť </w:t>
      </w:r>
      <w:proofErr w:type="spellStart"/>
      <w:r>
        <w:rPr>
          <w:rFonts w:ascii="Arial" w:hAnsi="Arial" w:cs="Arial"/>
          <w:sz w:val="26"/>
          <w:szCs w:val="26"/>
        </w:rPr>
        <w:t>oborové</w:t>
      </w:r>
      <w:proofErr w:type="spellEnd"/>
      <w:r>
        <w:rPr>
          <w:rFonts w:ascii="Arial" w:hAnsi="Arial" w:cs="Arial"/>
          <w:sz w:val="26"/>
          <w:szCs w:val="26"/>
        </w:rPr>
        <w:t xml:space="preserve"> pletivo ø 5,0 mm oká 100x100 </w:t>
      </w:r>
      <w:proofErr w:type="spellStart"/>
      <w:r>
        <w:rPr>
          <w:rFonts w:ascii="Arial" w:hAnsi="Arial" w:cs="Arial"/>
          <w:sz w:val="26"/>
          <w:szCs w:val="26"/>
        </w:rPr>
        <w:t>mm</w:t>
      </w:r>
      <w:r w:rsidRPr="00AF0854">
        <w:rPr>
          <w:rFonts w:ascii="Arial" w:hAnsi="Arial" w:cs="Arial"/>
          <w:sz w:val="26"/>
          <w:szCs w:val="26"/>
        </w:rPr>
        <w:t>a</w:t>
      </w:r>
      <w:proofErr w:type="spellEnd"/>
      <w:r w:rsidRPr="00AF0854">
        <w:rPr>
          <w:rFonts w:ascii="Arial" w:hAnsi="Arial" w:cs="Arial"/>
          <w:sz w:val="26"/>
          <w:szCs w:val="26"/>
        </w:rPr>
        <w:t> tieniaca sieť zelenej farby so 100 % nepriehľadnosťou.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Oceľové stojky a </w:t>
      </w:r>
      <w:proofErr w:type="spellStart"/>
      <w:r>
        <w:rPr>
          <w:rFonts w:ascii="Arial" w:hAnsi="Arial" w:cs="Arial"/>
          <w:sz w:val="26"/>
          <w:szCs w:val="26"/>
        </w:rPr>
        <w:t>jäcklovú</w:t>
      </w:r>
      <w:proofErr w:type="spellEnd"/>
      <w:r>
        <w:rPr>
          <w:rFonts w:ascii="Arial" w:hAnsi="Arial" w:cs="Arial"/>
          <w:sz w:val="26"/>
          <w:szCs w:val="26"/>
        </w:rPr>
        <w:t xml:space="preserve"> konštrukciu otváraných krídiel treba natrieť základným náterom a 2 x vrchným emailom tmavozeleného odtieňu.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Výkopy pre základové pätky sú uvažované v zemine triedy </w:t>
      </w:r>
      <w:proofErr w:type="spellStart"/>
      <w:r>
        <w:rPr>
          <w:rFonts w:ascii="Arial" w:hAnsi="Arial" w:cs="Arial"/>
          <w:sz w:val="26"/>
          <w:szCs w:val="26"/>
        </w:rPr>
        <w:t>ťažiteľnosti</w:t>
      </w:r>
      <w:proofErr w:type="spellEnd"/>
      <w:r>
        <w:rPr>
          <w:rFonts w:ascii="Arial" w:hAnsi="Arial" w:cs="Arial"/>
          <w:sz w:val="26"/>
          <w:szCs w:val="26"/>
        </w:rPr>
        <w:t xml:space="preserve"> IV.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5.5. Prenosné zábrany: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Budú umiestn</w:t>
      </w:r>
      <w:r w:rsidR="00F042D4">
        <w:rPr>
          <w:rFonts w:ascii="Arial" w:hAnsi="Arial" w:cs="Arial"/>
          <w:sz w:val="24"/>
          <w:szCs w:val="24"/>
        </w:rPr>
        <w:t>ené popri oplotení</w:t>
      </w:r>
      <w:r>
        <w:rPr>
          <w:rFonts w:ascii="Arial" w:hAnsi="Arial" w:cs="Arial"/>
          <w:sz w:val="24"/>
          <w:szCs w:val="24"/>
        </w:rPr>
        <w:t>,</w:t>
      </w:r>
      <w:r w:rsidR="00F042D4">
        <w:rPr>
          <w:rFonts w:ascii="Arial" w:hAnsi="Arial" w:cs="Arial"/>
          <w:sz w:val="24"/>
          <w:szCs w:val="24"/>
        </w:rPr>
        <w:t xml:space="preserve"> mimo pobrežných pozemkov Čierneho Hrona a bezmenného drobného vodného toku,</w:t>
      </w:r>
      <w:r>
        <w:rPr>
          <w:rFonts w:ascii="Arial" w:hAnsi="Arial" w:cs="Arial"/>
          <w:sz w:val="24"/>
          <w:szCs w:val="24"/>
        </w:rPr>
        <w:t xml:space="preserve"> ďalej podľa potreby pri skládkach výrezov, sortimentov hrubej i tenkej guľatiny a drevnej hmoty v celých dĺžkach.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Prenosné zábrany sú navrhnuté z oceľových valcovaných profilov I 220 mm navzájom pozváraných na výšku 2,00 m a dĺžku 2,50 m. V spodnej a vo vrchnej časti budú nosníky </w:t>
      </w:r>
      <w:proofErr w:type="spellStart"/>
      <w:r>
        <w:rPr>
          <w:rFonts w:ascii="Arial" w:hAnsi="Arial" w:cs="Arial"/>
          <w:sz w:val="24"/>
          <w:szCs w:val="24"/>
        </w:rPr>
        <w:t>rozopreté</w:t>
      </w:r>
      <w:proofErr w:type="spellEnd"/>
      <w:r>
        <w:rPr>
          <w:rFonts w:ascii="Arial" w:hAnsi="Arial" w:cs="Arial"/>
          <w:sz w:val="24"/>
          <w:szCs w:val="24"/>
        </w:rPr>
        <w:t xml:space="preserve"> oceľovými valcovanými profilmi U 180 mm. V rohoch budú oceľové nosníky vystužené oceľovými trojuholníkovými plechmi 300 x 8 – 300 mm a šikmo navareným oceľovým profilom I 220 mm (pod uhlom 45°).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Oceľové prenosné zábrany budú opatrené základným náterom a 2x vrchným emailom čierneho odtieňu. Zvislé nosníky zábran budú natreté žltočiernym výstražným šrafovaním.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Celkovo bude vyrobených 65 ks prenosných oceľových zábran.</w:t>
      </w:r>
    </w:p>
    <w:p w:rsidR="00510117" w:rsidRPr="001E24D2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10117" w:rsidRDefault="00510117" w:rsidP="00B738BB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6.  ÚDAJE O NADZEMNÝCH A PODZEMNÝCH STAVBÁCH A ZARIADENIACH: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drevosklade sa nachádzajú dve kontajnerové bunky, ktoré slúžia pre potreby prevádzky a  elektrické stĺpy (2 betónové, 1 drevený) na ktorých je nainštalované osvetlenie a priemyselné kamery.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Medzi oplotením a koľajiskom lesníckej železničky (z južnej strany) je vybudovaná nová splašková obecná kanalizácia DN 300 mm. Zo severnej strany, za  kontajnerovou bunkou je vedené okrajom vodného toku (Čierny Hron)  oceľové potrubie – </w:t>
      </w:r>
      <w:proofErr w:type="spellStart"/>
      <w:r>
        <w:rPr>
          <w:rFonts w:ascii="Arial" w:hAnsi="Arial" w:cs="Arial"/>
          <w:sz w:val="24"/>
          <w:szCs w:val="24"/>
        </w:rPr>
        <w:t>chránička</w:t>
      </w:r>
      <w:proofErr w:type="spellEnd"/>
      <w:r>
        <w:rPr>
          <w:rFonts w:ascii="Arial" w:hAnsi="Arial" w:cs="Arial"/>
          <w:sz w:val="24"/>
          <w:szCs w:val="24"/>
        </w:rPr>
        <w:t xml:space="preserve"> neidentifikovateľného vedenia.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 obecnou komunikáciou a prístupovým rázcestím je vedené vzdušné VN elektrické vedenie do blízkej trafostanice, z ktorej sú vedené vzdušné nízkonapäťové elektrické vedenia ďalej do obce.</w:t>
      </w:r>
    </w:p>
    <w:p w:rsidR="00510117" w:rsidRPr="00DA27E2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Vyjadrenia o existencii podzemných a nadzemných vedení od príslušných správcov vedení si musí vybaviť investor. Bez týchto vyjadrení nemožno začať so zemnými prácami.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7.  BEZPEČNOSŤ A OCHRANA ZDRAVIA PRI PRÁCI POČAS VYKONÁVANIA STAVEBNÝCH PRÁC 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Pri realizácii stavebných prác na jednotlivých stavebných objektoch je potrebné dodržiavať platné legislatívne predpisy v oblasti bezpečnosti a ochrany zdravia, ako aj požiarnej ochrany. Práce a pracoviská musia byť zaistené pred prípadným vznikom úrazu, porúch a havárii technických zariadení. Stavenisko treba oplotiť a ostatné súvisiace objekty i prekážky treba označiť v zmysle uvedených predpisov výstražnými tabuľkami, značkami a svetelnou signalizáciou v zmysle STN 34 3510.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Vykonávaním stavebných prác môžu byť poverení len pracovníci s platným oprávnením pre činnosti vyžadujúce oprávnenie, u ostatných musia byť poverení organizáciou.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Neoddeliteľnou súčasťou BOZ a hygieny pracovného prostredia je zásada dodržania čistoty a poriadku na pracovisku. Pred začatím stavebných prác musia byť pracovníci preukázateľne poučení o podmienkach bezpečnosti práce, požiarnej ochrany, zaškolení na vykonávanie prác a musia byť vybavení potrebnými OOPP.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Výkopy musia byť opatrené bezpečným </w:t>
      </w:r>
      <w:proofErr w:type="spellStart"/>
      <w:r>
        <w:rPr>
          <w:rFonts w:ascii="Arial" w:hAnsi="Arial" w:cs="Arial"/>
          <w:sz w:val="24"/>
          <w:szCs w:val="24"/>
        </w:rPr>
        <w:t>pažením</w:t>
      </w:r>
      <w:proofErr w:type="spellEnd"/>
      <w:r>
        <w:rPr>
          <w:rFonts w:ascii="Arial" w:hAnsi="Arial" w:cs="Arial"/>
          <w:sz w:val="24"/>
          <w:szCs w:val="24"/>
        </w:rPr>
        <w:t xml:space="preserve">. V prípade, že trasa výkopových prác je vedená v blízkosti, resp. križuje elektrické vedenia (vzdušné aj pozemné) je potrebné urobiť bezpečnostné opatrenia v súlade s príslušnými predpismi, alebo elektrický prúd vypínať. 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Súvisiace právne a iné predpisy: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Zákon NR SR č. 124/2006Z.z.</w:t>
      </w:r>
      <w:r>
        <w:rPr>
          <w:rFonts w:ascii="Arial" w:hAnsi="Arial" w:cs="Arial"/>
          <w:sz w:val="24"/>
          <w:szCs w:val="24"/>
        </w:rPr>
        <w:t xml:space="preserve"> o bezpečnosti a ochrane zdravia pri práci a o zmene v doplnení niektorých zákonov,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 Vyhláška SÚBP a SBÚ č. 374/1990 Zb</w:t>
      </w:r>
      <w:r>
        <w:rPr>
          <w:rFonts w:ascii="Arial" w:hAnsi="Arial" w:cs="Arial"/>
          <w:sz w:val="24"/>
          <w:szCs w:val="24"/>
        </w:rPr>
        <w:t>. o bezpečnosti práce a technických zariadení pri stavebných prácach (nahrádza bezpečnostné predpisy B1 až B6),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  Vyhláška 59/1982 </w:t>
      </w:r>
      <w:r>
        <w:rPr>
          <w:rFonts w:ascii="Arial" w:hAnsi="Arial" w:cs="Arial"/>
          <w:sz w:val="24"/>
          <w:szCs w:val="24"/>
        </w:rPr>
        <w:t>v znení neskorších predpisov,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  Vyhláška 508/2009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Nariadenia vlády SR: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   Nariadenie vlády SR č. 387/2006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Nariadenie vlády SR č. 392/2006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o minimálnych bezpečnostných a zdravotných požiadavkách pri používaní pracovných prostriedkov,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Nariadenie vlády SR č. 391/2006Z.z. </w:t>
      </w:r>
      <w:r>
        <w:rPr>
          <w:rFonts w:ascii="Arial" w:hAnsi="Arial" w:cs="Arial"/>
          <w:sz w:val="24"/>
          <w:szCs w:val="24"/>
        </w:rPr>
        <w:t>o minimálnych bezpečnostných a zdravotných požiadavkách na pracovisko,</w:t>
      </w:r>
      <w:r>
        <w:rPr>
          <w:rFonts w:ascii="Arial" w:hAnsi="Arial" w:cs="Arial"/>
          <w:sz w:val="24"/>
          <w:szCs w:val="24"/>
        </w:rPr>
        <w:tab/>
      </w:r>
    </w:p>
    <w:p w:rsidR="00510117" w:rsidRDefault="00510117" w:rsidP="00B738BB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Nariadenie vlády SR č. 281/2006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o minimálnych bezpečnostných a zdravotných požiadavkách pri ručnej manipulácii s bremenami,</w:t>
      </w:r>
    </w:p>
    <w:p w:rsidR="00510117" w:rsidRDefault="00510117" w:rsidP="00B738B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Nariadenie vlády SR č. 276/2006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o minimálnych bezpečnostných požiadavkách pri práci so zobrazovacími jednotkami,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- Nariadenie vlády SR č. 396/2006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o minimálnych bezpečnostných požiadavkách na stavenisko,</w:t>
      </w:r>
    </w:p>
    <w:p w:rsidR="00510117" w:rsidRDefault="00510117" w:rsidP="00B738BB">
      <w:pPr>
        <w:tabs>
          <w:tab w:val="left" w:pos="-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 Nariadenie vlády SR č. 395/2006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sz w:val="24"/>
          <w:szCs w:val="24"/>
        </w:rPr>
        <w:t xml:space="preserve">. o minimálnych požiadavkách na poskytovanie a používanie ostatných ochranných pracovných prostriedkov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    Nariadenie vlády SR č. 436/2008 </w:t>
      </w:r>
      <w:proofErr w:type="spellStart"/>
      <w:r>
        <w:rPr>
          <w:rFonts w:ascii="Arial" w:hAnsi="Arial" w:cs="Arial"/>
          <w:b/>
          <w:sz w:val="24"/>
          <w:szCs w:val="24"/>
        </w:rPr>
        <w:t>Z.z</w:t>
      </w:r>
      <w:proofErr w:type="spellEnd"/>
      <w:r>
        <w:rPr>
          <w:rFonts w:ascii="Arial" w:hAnsi="Arial" w:cs="Arial"/>
          <w:b/>
          <w:sz w:val="24"/>
          <w:szCs w:val="24"/>
        </w:rPr>
        <w:t>. (Smernica EP a Rady 2006/42/ES)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Pred začatím výkopových prác treba presne vytýčiť všetky podzemné vedenia a inžinierske siete, ktoré sa na stavenisku nachádzajú alebo  sa môžu nachádzať /rozvody elektrickej energie, vodovod, kanalizácia, oznamovacie a zabezpečovacie vedenia a iné/. </w:t>
      </w:r>
    </w:p>
    <w:p w:rsidR="00510117" w:rsidRDefault="00510117" w:rsidP="00B738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10117" w:rsidRDefault="00F042D4" w:rsidP="00B738BB">
      <w:pPr>
        <w:tabs>
          <w:tab w:val="left" w:pos="360"/>
        </w:tabs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>V Žiline, jún 2019</w:t>
      </w:r>
      <w:r w:rsidR="00510117">
        <w:rPr>
          <w:rFonts w:ascii="Arial" w:hAnsi="Arial" w:cs="Arial"/>
          <w:sz w:val="24"/>
          <w:szCs w:val="24"/>
        </w:rPr>
        <w:t xml:space="preserve">                                                   Vypracoval: Ing. Dušan Grék</w:t>
      </w:r>
    </w:p>
    <w:sectPr w:rsidR="00510117" w:rsidSect="00B738BB"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03DB"/>
    <w:multiLevelType w:val="hybridMultilevel"/>
    <w:tmpl w:val="EAEAB508"/>
    <w:lvl w:ilvl="0" w:tplc="8D7A18CE">
      <w:start w:val="1"/>
      <w:numFmt w:val="bullet"/>
      <w:lvlText w:val="-"/>
      <w:lvlJc w:val="left"/>
      <w:pPr>
        <w:ind w:left="810" w:hanging="360"/>
      </w:pPr>
      <w:rPr>
        <w:rFonts w:ascii="Arial" w:eastAsiaTheme="minorEastAsia" w:hAnsi="Arial" w:cs="Arial" w:hint="default"/>
      </w:rPr>
    </w:lvl>
    <w:lvl w:ilvl="1" w:tplc="041B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3707E"/>
    <w:rsid w:val="00002B8B"/>
    <w:rsid w:val="0005422D"/>
    <w:rsid w:val="000F02E0"/>
    <w:rsid w:val="00171E8C"/>
    <w:rsid w:val="001800BC"/>
    <w:rsid w:val="001C75DE"/>
    <w:rsid w:val="001E1572"/>
    <w:rsid w:val="001E24D2"/>
    <w:rsid w:val="001F4B07"/>
    <w:rsid w:val="00256023"/>
    <w:rsid w:val="002C6432"/>
    <w:rsid w:val="002D5B76"/>
    <w:rsid w:val="00316BFD"/>
    <w:rsid w:val="003377CD"/>
    <w:rsid w:val="00394FE3"/>
    <w:rsid w:val="003A0577"/>
    <w:rsid w:val="003A4A6D"/>
    <w:rsid w:val="003A4E20"/>
    <w:rsid w:val="003B753C"/>
    <w:rsid w:val="003C14BA"/>
    <w:rsid w:val="00436A6B"/>
    <w:rsid w:val="00451BCE"/>
    <w:rsid w:val="00481B59"/>
    <w:rsid w:val="00510117"/>
    <w:rsid w:val="0054060B"/>
    <w:rsid w:val="00540684"/>
    <w:rsid w:val="005A76A1"/>
    <w:rsid w:val="005B1854"/>
    <w:rsid w:val="005B7D30"/>
    <w:rsid w:val="005D5FD0"/>
    <w:rsid w:val="00623BAF"/>
    <w:rsid w:val="006D1F19"/>
    <w:rsid w:val="0073707E"/>
    <w:rsid w:val="00767C85"/>
    <w:rsid w:val="007D40AD"/>
    <w:rsid w:val="007F12C6"/>
    <w:rsid w:val="0086777D"/>
    <w:rsid w:val="008E3CB4"/>
    <w:rsid w:val="008E76C0"/>
    <w:rsid w:val="00956A9A"/>
    <w:rsid w:val="00986DA2"/>
    <w:rsid w:val="009D540B"/>
    <w:rsid w:val="00A30514"/>
    <w:rsid w:val="00A97044"/>
    <w:rsid w:val="00AF0854"/>
    <w:rsid w:val="00B1032B"/>
    <w:rsid w:val="00B738BB"/>
    <w:rsid w:val="00BE1128"/>
    <w:rsid w:val="00C70DDB"/>
    <w:rsid w:val="00C903BC"/>
    <w:rsid w:val="00D50E4B"/>
    <w:rsid w:val="00DA27E2"/>
    <w:rsid w:val="00E17993"/>
    <w:rsid w:val="00E432B0"/>
    <w:rsid w:val="00EA1C49"/>
    <w:rsid w:val="00EE0D6E"/>
    <w:rsid w:val="00F042D4"/>
    <w:rsid w:val="00FA4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707E"/>
    <w:rPr>
      <w:rFonts w:eastAsiaTheme="minorEastAsia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3707E"/>
    <w:pPr>
      <w:keepNext/>
      <w:spacing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73707E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3707E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73707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3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07E"/>
    <w:rPr>
      <w:rFonts w:ascii="Tahoma" w:eastAsiaTheme="minorEastAsia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707E"/>
    <w:rPr>
      <w:rFonts w:eastAsiaTheme="minorEastAsia"/>
      <w:lang w:eastAsia="sk-SK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73707E"/>
    <w:pPr>
      <w:keepNext/>
      <w:spacing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semiHidden/>
    <w:rsid w:val="0073707E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73707E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73707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37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707E"/>
    <w:rPr>
      <w:rFonts w:ascii="Tahoma" w:eastAsiaTheme="minorEastAsia" w:hAnsi="Tahoma" w:cs="Tahoma"/>
      <w:sz w:val="16"/>
      <w:szCs w:val="1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usan.grek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3040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uzivatel</cp:lastModifiedBy>
  <cp:revision>9</cp:revision>
  <dcterms:created xsi:type="dcterms:W3CDTF">2019-05-27T09:09:00Z</dcterms:created>
  <dcterms:modified xsi:type="dcterms:W3CDTF">2019-06-08T11:35:00Z</dcterms:modified>
</cp:coreProperties>
</file>